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Plan wynikowy dla klasy 7 szkoły podstawowej zgodny z podręcznikiem „Lubię to!”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Wymagania zamieszczone w planie wynikowym zostały dostosowane do poszczególnych jednostek lekcyjnych i mają na celu ułatwienie planowania lekcji i oceniania uczniów. Są one propozycją, którą każdy nauczyciel powinien zmodyfikować stosownie do możliwości swojego zespołu klasowego. </w:t>
      </w:r>
      <w:r>
        <w:rPr>
          <w:rFonts w:cs="Times New Roman" w:ascii="Times New Roman" w:hAnsi="Times New Roman"/>
        </w:rPr>
        <w:t>Każdy dział kończy się praktycznym sprawdzianem umiejętności.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Tabela-Siatka"/>
        <w:tblW w:w="1539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98"/>
        <w:gridCol w:w="2199"/>
        <w:gridCol w:w="2198"/>
        <w:gridCol w:w="2199"/>
        <w:gridCol w:w="2198"/>
        <w:gridCol w:w="2199"/>
        <w:gridCol w:w="2198"/>
      </w:tblGrid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Tytuł w podręczniku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Numer i temat lekcji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Wymagania konieczne (ocena dopuszczająca).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Wymagania podstawowe (ocena dostateczna).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Wymagania rozszerzające (ocena dobra).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Wymagania dopełniające (ocena bardzo dobra).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Wymagania wykraczające (ocena celująca).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</w:tc>
      </w:tr>
      <w:tr>
        <w:trPr/>
        <w:tc>
          <w:tcPr>
            <w:tcW w:w="15389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1. KOMPUTER I SIECI KOMPUTEROWE 5 h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1.1. Komputer w życiu człowieka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1. i 2. Komputer w życiu człowieka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przestrzega zasad bezpiecznej i higienicznej pracy przy komputerze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kompresuje i dekompresuje pliki i foldery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omawia podstawowe jednostki pamięci masowej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wstawia do dokumentu znaki, korzystając z kodów ASCII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zabezpiecza komputer przed działaniem złośliwego oprogramowania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wymienia i opisuje rodzaje licencji na oprogramowanie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wyjaśnia, czym jest system binarny (dwójkowy) i dlaczego jest używany do zapisywania danych w komputerze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wykonuje kopię bezpieczeństwa swoich plików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zamienia liczby z systemu dziesiętnego na dwójkowy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1.2. Budowa i działanie sieci komputerowej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3. Budowa i działanie sieci komputerowej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wyjaśnia, czym jest sieć komputerowa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wymienia podstawowe klasy sieci komputerowych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wyjaśnia, czym jest internet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omawia podział sieci ze względu na wielkość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sprawdza parametry sieci komputerowej w systemie Windows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zmienia ustawienia sieci komputerowej w systemie Windows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1.3. Sposoby wykorzystania internetu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4. i 5. Sposoby wykorzystania internetu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wymienia dwie usługi dostępne w internecie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otwiera strony internetowe w przeglądarce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wymienia cztery usługi dostępne w internecie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wyjaśnia, czym jest chmura obliczeniowa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wyszukuje informacje w internecie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szanuje prawa autorskie, wykorzystując materiały pobrane z internetu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wymienia sześć usług dostępnych w internecie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umieszcza pliki w chmurze obliczeniowej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opisuje proces tworzenia cyfrowej tożsamości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dba o swoje bezpieczeństwo podczas korzystania z internetu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przestrzega zasad netykiety, komunikując się przez internet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wymienia osiem usług dostępnych w internecie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współpracuje nad dokumentami, wykorzystując chmurę obliczeniową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opisuje licencje na zasoby w internecie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publikuje własne treści w internecie, przydzielając im licencje typu Creative Commons</w:t>
            </w:r>
          </w:p>
        </w:tc>
      </w:tr>
      <w:tr>
        <w:trPr/>
        <w:tc>
          <w:tcPr>
            <w:tcW w:w="15389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2. STRONY WWW 3 h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2.1. Zasady tworzenia stron internetowych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6. Zasady tworzenia stron internetowych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wyjaśnia, czym jest strona internetowa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opisuje budowę witryny internetowej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omawia budowę znacznika HTML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wymienia podstawowe znaczniki HTML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prostą stronę internetową w języku HTML i zapisuje ją w pliku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wykorzystuje znaczniki formatowania do zmiany wyglądu tworzonej strony internetowej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korzysta z możliwości kolorowania składni kodu HTML w edytorze obsługującym tę funkcję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wyświetla i analizuje kod strony HTML, korzystając z narzędzi przeglądarki internetowej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otwiera dokument HTML do edycji w dowolnym edytorze tekstu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 formatowania wyglądu strony wykorzystuje znaczniki nieomawiane na lekcji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2.2. Tworzymy własną stronę WWW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7. i 8. Tworzymy własną stronę WWW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stronę internetową w języku HTML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planuje kolejne etapy wykonywania strony internetowej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umieszcza na stronie listy punktowane oraz numerowane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umieszcza na stronie obrazy i tabele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tworząc stronę internetową, wykorzystuje dodatkowe technologie, np. CSS lub JavaScript</w:t>
            </w:r>
          </w:p>
        </w:tc>
      </w:tr>
      <w:tr>
        <w:trPr/>
        <w:tc>
          <w:tcPr>
            <w:tcW w:w="15389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3. GRAFIKA KOMPUTEROWA 7 h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3.1. Tworzenie i modyfikowanie obrazów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9. i 10. Tworzenie i modyfikowanie obrazów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rysunek za pomocą podstawowych narzędzi programu GIMP i zapisuje go w pliku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zaznacza fragmenty obrazu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wykorzystuje schowek do kopiowania i wklejania fragmentów obrazu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omawia znaczenie warstw obrazu w programie GIMP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i usuwa warstwy w programie GIMP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umieszcza napisy na obrazie w programie GIMP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zapisuje rysunki w różnych formatach graficznych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używa narzędzi zaznaczania dostępnych w programie GIMP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zmienia kolejność warstw obrazu w programie GIMP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opisuje podstawowe formaty graficzne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wykorzystuje warstwy, tworząc rysunki w programie GIMP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rysuje figury geometryczne, wykorzystując narzędzia zaznaczania w programie GIMP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łączy warstwy w obrazach tworzonych w programie GIMP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wykorzystuje filtry programu GIMP do poprawiania jakości zdjęć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fotomontaże w programie GIMP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tworząc rysunki w programie GIMP, wykorzystuje narzędzia nieomówione na lekcji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3.2. Animacje w programie GIMP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11. i 12. Animacje w programie GIMP 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wyjaśnia, czym jest animacja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gotowe animacje do obrazów wykorzystując filtry programu GIMP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gotowe animacje dla kilku fragmentów obrazu: odtwarzane jednocześnie oraz odtwarzane po kolei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animację poklatkową, wykorzystując warstwy w programie GIMP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przedstawia proste historie poprzez animacje utworzone w programie GIMP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3.3. Tworzenie plakatu – zadanie projektowe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13.–15. Tworzenie plakatu – zadanie projektowe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współpracuje w grupie, przygotowując plakat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planuje pracę w grupie poprzez przydzielanie zadań poszczególnym jej członkom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wyszukuje, zbiera i samodzielnie tworzy materiały niezbędne do wykonania plakatu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przestrzega praw autorskich podczas zbierania materiałów do projektu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wykorzystuje chmurę obliczeniową do zbierania materiałów niezbędnych do wykonania plakatu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planuje pracę w grupie i współpracuje z jej członkami, przygotowując dowolny projekt</w:t>
            </w:r>
          </w:p>
        </w:tc>
      </w:tr>
      <w:tr>
        <w:trPr/>
        <w:tc>
          <w:tcPr>
            <w:tcW w:w="15389" w:type="dxa"/>
            <w:gridSpan w:val="7"/>
            <w:tcBorders>
              <w:top w:val="nil"/>
            </w:tcBorders>
          </w:tcPr>
          <w:tbl>
            <w:tblPr>
              <w:tblW w:w="13996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96"/>
            </w:tblGrid>
            <w:tr>
              <w:trPr/>
              <w:tc>
                <w:tcPr>
                  <w:tcW w:w="1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9"/>
                    </w:tabs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/>
                  </w:r>
                </w:p>
                <w:p>
                  <w:pPr>
                    <w:pStyle w:val="Normal"/>
                    <w:tabs>
                      <w:tab w:val="clear" w:pos="709"/>
                    </w:tabs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/>
                  </w:r>
                </w:p>
                <w:p>
                  <w:pPr>
                    <w:pStyle w:val="Normal"/>
                    <w:tabs>
                      <w:tab w:val="clear" w:pos="709"/>
                    </w:tabs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/>
                  </w:r>
                </w:p>
                <w:p>
                  <w:pPr>
                    <w:pStyle w:val="Normal"/>
                    <w:tabs>
                      <w:tab w:val="clear" w:pos="709"/>
                    </w:tabs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eastAsia="Calibri" w:cs="Calibri"/>
                      <w:b/>
                      <w:kern w:val="0"/>
                      <w:sz w:val="32"/>
                      <w:szCs w:val="20"/>
                      <w:lang w:eastAsia="en-US" w:bidi="ar-SA"/>
                    </w:rPr>
                    <w:t>II półrocze</w:t>
                  </w:r>
                </w:p>
                <w:p>
                  <w:pPr>
                    <w:pStyle w:val="Normal"/>
                    <w:tabs>
                      <w:tab w:val="clear" w:pos="709"/>
                    </w:tabs>
                    <w:spacing w:before="0" w:after="0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eastAsia="Calibri" w:cs="Calibri"/>
                      <w:b/>
                      <w:kern w:val="0"/>
                      <w:sz w:val="20"/>
                      <w:szCs w:val="20"/>
                      <w:lang w:eastAsia="en-US" w:bidi="ar-SA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15389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4. PRACA Z DOKUMENTEM TEKSTOWYM 9 h</w:t>
            </w:r>
          </w:p>
        </w:tc>
      </w:tr>
      <w:tr>
        <w:trPr>
          <w:trHeight w:val="320" w:hRule="atLeast"/>
        </w:trPr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4.1. Opracowywanie tekstu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16. i 17. Opracowywanie tekstu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różne dokumenty tekstowe i zapisuje je w plikach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otwiera i edytuje zapisane dokumenty tekstowe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redaguje przygotowane dokumenty tekstowe, przestrzegając odpowiednich zasad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dostosowuje formę tekstu do jego przeznaczenia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korzysta z tabulatora do ustawiania tekstu w kolumnach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ustawia wcięcia w dokumencie tekstowym, wykorzystując suwaki na linijce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wykorzystuje kapitaliki i wersaliki do przedstawienia różnych elementów dokumentu tekstowego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ustawia różne rodzaje tabulatorów, wykorzystując selektor tabulatorów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sprawdza liczbę wyrazów, znaków, wierszy i akapitów w dokumencie tekstowym za pomocą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Statystyki wyrazów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kopiuje formatowanie pomiędzy fragmentami tekstu, korzystając z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Malarza formatów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sprawdza poprawność ortograficzną tekstu za pomocą słownika ortograficznego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wyszukuje wyrazy bliskoznaczne, korzystając ze słownika synonimów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zamienia określone wyrazy w całym dokumencie tekstowym, korzystając z opcji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Znajdź i zamień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przygotowuje estetyczne projekty dokumentów tekstowych do wykorzystania w życiu codziennym, takie jak: zaproszenia na uroczystości, ogłoszenia, podania, listy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4.2. Wstawianie obrazów i innych obiektów do dokumentu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18. i 19. Wstawianie obrazów i innych obiektów do dokumentu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wstawia obrazy do dokumentu tekstowego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wstawia tabele do dokumentu tekstowego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zmienia położenie obrazu względem tekstu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formatuje tabele w dokumencie tekstowym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wstawia symbole do dokumentu tekstowego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zmienia kolejność elementów graficznych w dokumencie tekstowym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wstawia grafiki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SmartArt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do dokumentu tekstowego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umieszcza w dokumencie tekstowym pola tekstowe i zmienia ich formatowanie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osadza obraz w dokumencie tekstowym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wstawia zrzut ekranu do dokumentu tekstowego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rozdziela tekst pomiędzy kilka pól tekstowych, tworząc łącza między nimi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wstawia równania do dokumentu tekstowego 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wstawia do dokumentu tekstowego inne, poza obrazami, obiekty osadzone, np. arkusz kalkulacyjny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4.3. Praca nad dokumentem wielostronicowym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20. i 21. Praca nad dokumentem wielostronicowym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wykorzystuje style do formatowania różnych fragmentów tekstu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wpisuje informacje do nagłówka i stopki dokumentu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spis treści z wykorzystaniem stylów nagłówkowych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dzieli dokument na logiczne części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przypisy dolne i końcowe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przygotowuje rozbudowane dokumenty tekstowe, takie jak referaty i wypracowania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4.4. Przygotowanie e-gazetki – zadanie projektowe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22–24. Przygotowanie </w:t>
              <w:br/>
              <w:t>e-gazetki – zadanie projektowe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współpracuje w grupie, przygotowując </w:t>
              <w:br/>
              <w:t>e-gazetkę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planuje pracę w grupie poprzez przydzielanie zadań poszczególnym jej członkom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wyszukuje, zbiera i samodzielnie tworzy materiały niezbędne do wykonania </w:t>
              <w:br/>
              <w:t>e-gazetki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przestrzega praw autorskich podczas zbierania materiałów do projektu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wykorzystuje chmurę obliczeniową do zbierania materiałów niezbędnych do wykonania </w:t>
              <w:br/>
              <w:t>e-gazetki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planuje pracę w grupie i współpracuje z jej członkami, przygotowując dowolny projekt</w:t>
            </w:r>
          </w:p>
        </w:tc>
      </w:tr>
      <w:tr>
        <w:trPr/>
        <w:tc>
          <w:tcPr>
            <w:tcW w:w="15389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5. PREZENTACJE MULTIMEDIALNE I FILMY 4 h</w:t>
            </w:r>
          </w:p>
        </w:tc>
      </w:tr>
      <w:tr>
        <w:trPr>
          <w:trHeight w:val="725" w:hRule="atLeast"/>
        </w:trPr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5.1. Praca nad prezentacją multimedialną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25. i 26. Praca nad prezentacją multimedialną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przygotowuje prezentację multimedialną i zapisuje ją w pliku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zapisuje prezentację jako pokaz slajdów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planuje pracę nad prezentacją oraz jej układ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umieszcza w prezentacji slajd ze spisem treści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uruchamia pokaz slajdów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projektuje wygląd slajdów zgodnie z ogólnie przyjętymi zasadami dobrych prezentacji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dodaje do slajdów obrazy, grafiki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SmartArt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do elementów na slajdach animacje i zmienia ich parametry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przygotowuje niestandardowy pokaz slajdów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nagrywa zawartość ekranu i umieszcza nagranie w prezentacji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wyrównuje elementy na slajdzie w pionie i w poziomie oraz względem innych elementów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do slajdów dźwięki i filmy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do slajdów efekty przejścia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do slajdów hiperłącza i przyciski akcji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przygotowuje prezentacje multimedialne, wykorzystując narzędzia nieomówione na lekcji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5.2. Tworzenie i obróbka filmów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27. i 28. Tworzenie i obróbka filmów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projekt filmu w programie Shotcut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nowe klipy do projektu filmu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wymienia rodzaje formatów plików filmowych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przejścia między klipami w projekcie filmu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usuwa fragmenty filmu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zapisuje film w różnych formatach wideo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napisy do filmu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filtry do scen w filmie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ścieżkę dźwiękową do filmu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przygotowuje projekt filmowy o przemyślanej i zaplanowanej fabule, z wykorzystaniem różnych możliwości programu Shotcut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84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 wp14:anchorId="7111B04D">
              <wp:simplePos x="0" y="0"/>
              <wp:positionH relativeFrom="leftMargin">
                <wp:align>right</wp:align>
              </wp:positionH>
              <wp:positionV relativeFrom="topMargin">
                <wp:posOffset>342265</wp:posOffset>
              </wp:positionV>
              <wp:extent cx="299720" cy="208915"/>
              <wp:effectExtent l="0" t="0" r="5715" b="1270"/>
              <wp:wrapNone/>
              <wp:docPr id="1" name="Pole tekstowe 4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160" cy="2084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jc w:val="right"/>
                            <w:rPr>
                              <w:rFonts w:cs="Calibr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cs="Calibri"/>
                              <w:color w:val="FFFFFF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  <w:szCs w:val="16"/>
                              <w:rFonts w:cs="Calibri"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cs="Calibri"/>
                              <w:color w:val="FFFFFF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  <w:rFonts w:cs="Calibri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4" path="m0,0l-2147483645,0l-2147483645,-2147483646l0,-2147483646xe" fillcolor="#002060" stroked="f" style="position:absolute;margin-left:11.95pt;margin-top:26.95pt;width:23.5pt;height:16.35pt;mso-wrap-style:square;v-text-anchor:middle;mso-position-horizontal:right;mso-position-horizontal-relative:page" wp14:anchorId="7111B04D">
              <v:fill o:detectmouseclick="t" type="solid" color2="#ffdf9f"/>
              <v:stroke color="#3465a4" joinstyle="round" endcap="flat"/>
              <v:textbox>
                <w:txbxContent>
                  <w:p>
                    <w:pPr>
                      <w:pStyle w:val="Zawartoramki"/>
                      <w:jc w:val="right"/>
                      <w:rPr>
                        <w:rFonts w:cs="Calibri"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Calibri" w:cstheme="minorHAnsi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cs="Calibri"/>
                        <w:color w:val="FFFFFF"/>
                      </w:rPr>
                      <w:instrText> PAGE </w:instrText>
                    </w:r>
                    <w:r>
                      <w:rPr>
                        <w:sz w:val="16"/>
                        <w:szCs w:val="16"/>
                        <w:rFonts w:cs="Calibri"/>
                        <w:color w:val="FFFFFF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cs="Calibri"/>
                        <w:color w:val="FFFFFF"/>
                      </w:rPr>
                      <w:t>6</w:t>
                    </w:r>
                    <w:r>
                      <w:rPr>
                        <w:sz w:val="16"/>
                        <w:szCs w:val="16"/>
                        <w:rFonts w:cs="Calibri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 wp14:anchorId="2010C9E2">
              <wp:simplePos x="0" y="0"/>
              <wp:positionH relativeFrom="margin">
                <wp:align>left</wp:align>
              </wp:positionH>
              <wp:positionV relativeFrom="topMargin">
                <wp:posOffset>344170</wp:posOffset>
              </wp:positionV>
              <wp:extent cx="2802890" cy="208915"/>
              <wp:effectExtent l="0" t="0" r="0" b="1270"/>
              <wp:wrapNone/>
              <wp:docPr id="3" name="Pole tekstowe 4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2240" cy="20844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cs="Calibr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Plan wynikowy</w:t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3" path="m0,0l-2147483645,0l-2147483645,-2147483646l0,-2147483646xe" fillcolor="#b1c903" stroked="f" style="position:absolute;margin-left:0pt;margin-top:27.1pt;width:220.6pt;height:16.35pt;mso-wrap-style:square;v-text-anchor:middle;mso-position-horizontal:left;mso-position-horizontal-relative:margin" wp14:anchorId="2010C9E2">
              <v:fill o:detectmouseclick="t" type="solid" color2="#4e36fc"/>
              <v:stroke color="#3465a4" joinstyle="round" endcap="flat"/>
              <v:textbox>
                <w:txbxContent>
                  <w:p>
                    <w:pPr>
                      <w:pStyle w:val="Zawartoramki"/>
                      <w:rPr>
                        <w:rFonts w:cs="Calibri"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Calibri" w:cstheme="minorHAnsi"/>
                        <w:color w:val="FFFFFF" w:themeColor="background1"/>
                        <w:sz w:val="16"/>
                        <w:szCs w:val="16"/>
                      </w:rPr>
                      <w:t>Informatyka – Plan wynikowy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c109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109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a01b8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1531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1531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415310"/>
    <w:rPr>
      <w:b/>
      <w:bCs/>
      <w:sz w:val="20"/>
      <w:szCs w:val="20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d560d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10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c10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a01b8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1531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15310"/>
    <w:pPr/>
    <w:rPr>
      <w:b/>
      <w:bCs/>
    </w:rPr>
  </w:style>
  <w:style w:type="paragraph" w:styleId="Revision">
    <w:name w:val="Revision"/>
    <w:uiPriority w:val="99"/>
    <w:semiHidden/>
    <w:qFormat/>
    <w:rsid w:val="00312e2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06b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nowaera.pl/" TargetMode="Externa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C9255-B8AF-4559-ADDA-09E389E4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LibreOffice/7.1.1.2$Windows_X86_64 LibreOffice_project/fe0b08f4af1bacafe4c7ecc87ce55bb426164676</Application>
  <AppVersion>15.0000</AppVersion>
  <Pages>6</Pages>
  <Words>1439</Words>
  <Characters>8776</Characters>
  <CharactersWithSpaces>9902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dc:description/>
  <dc:language>pl-PL</dc:language>
  <cp:lastModifiedBy/>
  <dcterms:modified xsi:type="dcterms:W3CDTF">2024-09-10T21:49:11Z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